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45256" w14:textId="77777777" w:rsidR="002C248F" w:rsidRPr="002C248F" w:rsidRDefault="002C248F" w:rsidP="002C248F">
      <w:pPr>
        <w:spacing w:after="6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2C248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ПРОГРАММА-МИНИМУМ </w:t>
      </w:r>
    </w:p>
    <w:p w14:paraId="5EB7AAF8" w14:textId="77777777" w:rsidR="002C248F" w:rsidRPr="002C248F" w:rsidRDefault="002C248F" w:rsidP="002C248F">
      <w:pPr>
        <w:spacing w:after="6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C248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кандидатского экзамена по специальности</w:t>
      </w:r>
    </w:p>
    <w:p w14:paraId="4726E481" w14:textId="270A67F4" w:rsidR="002C248F" w:rsidRPr="002C248F" w:rsidRDefault="002C248F" w:rsidP="002C248F">
      <w:pPr>
        <w:spacing w:after="6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2C248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1.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</w:t>
      </w:r>
      <w:r w:rsidRPr="002C248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</w:t>
      </w:r>
      <w:r w:rsidRPr="002C248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 «Математическое моделирование, численные методы и комплексы программ»</w:t>
      </w:r>
    </w:p>
    <w:p w14:paraId="51887245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A643DF" w14:textId="0E864EC4" w:rsidR="00E054D0" w:rsidRPr="00E054D0" w:rsidRDefault="00E054D0" w:rsidP="00E054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4D0">
        <w:rPr>
          <w:rFonts w:ascii="Times New Roman" w:hAnsi="Times New Roman" w:cs="Times New Roman"/>
          <w:b/>
          <w:bCs/>
          <w:sz w:val="24"/>
          <w:szCs w:val="24"/>
        </w:rPr>
        <w:t>1. Основы математического моделирования</w:t>
      </w:r>
    </w:p>
    <w:p w14:paraId="3786A97D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Понятие математической модели. Классификация моделей (детерминированные / стохастические, дискретные / непрерывные, стационарные / нестационарные). Этапы построения модели. Принципы адекватности, устойчивости, идентифицируемости.</w:t>
      </w:r>
    </w:p>
    <w:p w14:paraId="4420F454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4A2524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Принципы построения и исследования моделей. Постановка обратных задач, параметрическая идентификация. Методы регуляризации (А.Н. Тихонов). Устойчивость решений к возмущениям входных данных.</w:t>
      </w:r>
    </w:p>
    <w:p w14:paraId="1A7F9BC4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875ED5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Модели механики сплошной среды и физики. Уравнения математической физики (гиперболические, параболические, эллиптические). Граничные и начальные условия, корректность постановок.</w:t>
      </w:r>
    </w:p>
    <w:p w14:paraId="604DE6CC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9BFCA6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Дискретизация моделей. Аппроксимация, сходимость, устойчивость численных методов. Принцип эквивалентности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Лакса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). Теоремы об аппроксимации и устойчивости.</w:t>
      </w:r>
    </w:p>
    <w:p w14:paraId="26382C4C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0817BB" w14:textId="77777777" w:rsidR="00E054D0" w:rsidRPr="00E054D0" w:rsidRDefault="00E054D0" w:rsidP="00E054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4D0">
        <w:rPr>
          <w:rFonts w:ascii="Times New Roman" w:hAnsi="Times New Roman" w:cs="Times New Roman"/>
          <w:b/>
          <w:bCs/>
          <w:sz w:val="24"/>
          <w:szCs w:val="24"/>
        </w:rPr>
        <w:t>2. Численные методы решения задач математической физики</w:t>
      </w:r>
    </w:p>
    <w:p w14:paraId="55833CA5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Разностные методы. Построение разностных схем, шаблоны, порядок аппроксимации. Явные и неявные схемы, схемы повышенного порядка точности. Метод конечных разностей (МКР) для уравнений эллиптического, параболического и гиперболического типов.</w:t>
      </w:r>
    </w:p>
    <w:p w14:paraId="26BA6C5F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DC379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Метод конечных элементов (МКЭ). Вариационная и проекционная постановки. Конечно-элементные аппроксимации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лагранжевы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, эрмитовы элементы). Сходимость, апостериорные оценки погрешности. Адаптивные сетки.</w:t>
      </w:r>
    </w:p>
    <w:p w14:paraId="134DE68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91FC93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Метод конечных объемов (МКО). Интегральная форма законов сохранения. Построение консервативных схем. Применение в вычислительной гидродинамике и аэродинамике (схемы Годунова, TVD, WENO).</w:t>
      </w:r>
    </w:p>
    <w:p w14:paraId="31934EF9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496971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 xml:space="preserve">Спектральные методы и методы высокого порядка.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Псевдоспектральные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методы, методы разрывного метода Галеркина (DG). Применение для задач с гладкими решениями и разрывными решениями.</w:t>
      </w:r>
    </w:p>
    <w:p w14:paraId="4A5EFCB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123BF8" w14:textId="6A6F72DE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 xml:space="preserve">Методы решения систем линейных и нелинейных алгебраических уравнений. Прямые методы (LU, факторизация) и итерационные методы (Якоби, Гаусса-Зейделя, SOR). Методы Крыловских подпространств (CG, GMRES,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BiCGStab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Предобуславливание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.</w:t>
      </w:r>
    </w:p>
    <w:p w14:paraId="0B936F1D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1A7318" w14:textId="11FFE526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Методы решения 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стких систем обыкновенных дифференциальных уравнений. А-устойчивость, L-устойчивость. Методы Рунге</w:t>
      </w:r>
      <w:r w:rsidRPr="002C248F">
        <w:rPr>
          <w:rFonts w:ascii="Times New Roman" w:hAnsi="Times New Roman" w:cs="Times New Roman"/>
          <w:sz w:val="24"/>
          <w:szCs w:val="24"/>
        </w:rPr>
        <w:t>-</w:t>
      </w:r>
      <w:r w:rsidRPr="00E054D0">
        <w:rPr>
          <w:rFonts w:ascii="Times New Roman" w:hAnsi="Times New Roman" w:cs="Times New Roman"/>
          <w:sz w:val="24"/>
          <w:szCs w:val="24"/>
        </w:rPr>
        <w:t xml:space="preserve">Кутты, многошаговые методы (Адамса,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Гировские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методы).</w:t>
      </w:r>
    </w:p>
    <w:p w14:paraId="3BBE251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A237EE" w14:textId="77777777" w:rsidR="00E054D0" w:rsidRPr="00E054D0" w:rsidRDefault="00E054D0" w:rsidP="00E054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4D0">
        <w:rPr>
          <w:rFonts w:ascii="Times New Roman" w:hAnsi="Times New Roman" w:cs="Times New Roman"/>
          <w:b/>
          <w:bCs/>
          <w:sz w:val="24"/>
          <w:szCs w:val="24"/>
        </w:rPr>
        <w:t>3. Численное моделирование сложных систем</w:t>
      </w:r>
    </w:p>
    <w:p w14:paraId="52486500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Моделирование турбулентных течений. Прямое численное моделирование (DNS), метод крупных вихрей (LES), подходы на основе уравнений Рейнольдса (RANS). Современные гибридные методы (DES, DDES).</w:t>
      </w:r>
    </w:p>
    <w:p w14:paraId="3E578C0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A429B5" w14:textId="151C15B1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Многофизическое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моделирование. Связанные задачи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термоупругость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гидроупругость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, сопряж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нный теплообмен). Методы расщепления по физическим процессам, итерационные и монотонные подходы.</w:t>
      </w:r>
    </w:p>
    <w:p w14:paraId="17E0E8F0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54ED0C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Моделирование на мезо- и микроуровне. Метод молекулярной динамики, метод Монте-Карло, дискретный элемент. Многомасштабное моделирование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homogenization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coarse-graining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).</w:t>
      </w:r>
    </w:p>
    <w:p w14:paraId="17169F22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E3908D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Моделирование электромагнитных полей и акустики. Методы конечных разностей во временной области (FDTD), метод интегральных уравнений, граничных элементов (МГЭ).</w:t>
      </w:r>
    </w:p>
    <w:p w14:paraId="0A2D49B7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71B8D1" w14:textId="77777777" w:rsidR="00E054D0" w:rsidRPr="00E054D0" w:rsidRDefault="00E054D0" w:rsidP="00E054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4D0">
        <w:rPr>
          <w:rFonts w:ascii="Times New Roman" w:hAnsi="Times New Roman" w:cs="Times New Roman"/>
          <w:b/>
          <w:bCs/>
          <w:sz w:val="24"/>
          <w:szCs w:val="24"/>
        </w:rPr>
        <w:t>4. Высокопроизводительные вычисления и программные комплексы</w:t>
      </w:r>
    </w:p>
    <w:p w14:paraId="53CBDA67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Параллельные численные методы. Декомпозиция</w:t>
      </w:r>
      <w:r w:rsidRPr="00E054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054D0">
        <w:rPr>
          <w:rFonts w:ascii="Times New Roman" w:hAnsi="Times New Roman" w:cs="Times New Roman"/>
          <w:sz w:val="24"/>
          <w:szCs w:val="24"/>
        </w:rPr>
        <w:t>области</w:t>
      </w:r>
      <w:r w:rsidRPr="00E054D0">
        <w:rPr>
          <w:rFonts w:ascii="Times New Roman" w:hAnsi="Times New Roman" w:cs="Times New Roman"/>
          <w:sz w:val="24"/>
          <w:szCs w:val="24"/>
          <w:lang w:val="en-US"/>
        </w:rPr>
        <w:t xml:space="preserve"> (domain decomposition), </w:t>
      </w:r>
      <w:r w:rsidRPr="00E054D0">
        <w:rPr>
          <w:rFonts w:ascii="Times New Roman" w:hAnsi="Times New Roman" w:cs="Times New Roman"/>
          <w:sz w:val="24"/>
          <w:szCs w:val="24"/>
        </w:rPr>
        <w:t>интерфейс</w:t>
      </w:r>
      <w:r w:rsidRPr="00E054D0">
        <w:rPr>
          <w:rFonts w:ascii="Times New Roman" w:hAnsi="Times New Roman" w:cs="Times New Roman"/>
          <w:sz w:val="24"/>
          <w:szCs w:val="24"/>
          <w:lang w:val="en-US"/>
        </w:rPr>
        <w:t xml:space="preserve"> MPI, OpenMP, CUDA. </w:t>
      </w:r>
      <w:r w:rsidRPr="00E054D0">
        <w:rPr>
          <w:rFonts w:ascii="Times New Roman" w:hAnsi="Times New Roman" w:cs="Times New Roman"/>
          <w:sz w:val="24"/>
          <w:szCs w:val="24"/>
        </w:rPr>
        <w:t>Масштабируемость (сильная и слабая). Алгоритмы с балансировкой загрузки.</w:t>
      </w:r>
    </w:p>
    <w:p w14:paraId="4E868F43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32E21F" w14:textId="4798717F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Технологии разработки крупных научно-технических программных комплексов. Объектно-ориентированное и компонентное программирование в научных расч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тах. Системы контроля версий, тестирования, непрерывной интеграции.</w:t>
      </w:r>
    </w:p>
    <w:p w14:paraId="0A197E81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6DA08" w14:textId="408A52AB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 xml:space="preserve">Верификация и валидация программного обеспечения. Метод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manufactured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solutions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анализ порядка точности. Валидация на экспериментальных данных. Понятия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predictive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capability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, неопредел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нности в моделировании.</w:t>
      </w:r>
    </w:p>
    <w:p w14:paraId="7AB71D19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45120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lastRenderedPageBreak/>
        <w:t xml:space="preserve">Программные комплексы вычислительной математики. Обзор современных пакетов (ANSYS,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Abaqus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OpenFOAM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FEniCS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054D0">
        <w:rPr>
          <w:rFonts w:ascii="Times New Roman" w:hAnsi="Times New Roman" w:cs="Times New Roman"/>
          <w:sz w:val="24"/>
          <w:szCs w:val="24"/>
        </w:rPr>
        <w:t>deal.II</w:t>
      </w:r>
      <w:proofErr w:type="spellEnd"/>
      <w:proofErr w:type="gramEnd"/>
      <w:r w:rsidRPr="00E054D0">
        <w:rPr>
          <w:rFonts w:ascii="Times New Roman" w:hAnsi="Times New Roman" w:cs="Times New Roman"/>
          <w:sz w:val="24"/>
          <w:szCs w:val="24"/>
        </w:rPr>
        <w:t xml:space="preserve">). Открытые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проприетарные платформы. Интеграция с языками высокого уровня (Python,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Julia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).</w:t>
      </w:r>
    </w:p>
    <w:p w14:paraId="1B091B02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5DE229" w14:textId="77777777" w:rsidR="00E054D0" w:rsidRPr="00E054D0" w:rsidRDefault="00E054D0" w:rsidP="00E054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4D0">
        <w:rPr>
          <w:rFonts w:ascii="Times New Roman" w:hAnsi="Times New Roman" w:cs="Times New Roman"/>
          <w:b/>
          <w:bCs/>
          <w:sz w:val="24"/>
          <w:szCs w:val="24"/>
        </w:rPr>
        <w:t>5. Обратные задачи и оптимизация</w:t>
      </w:r>
    </w:p>
    <w:p w14:paraId="77BA0ED7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Обратные задачи математической физики. Постановка, некорректность, методы регуляризации. Итеративная регуляризация, метод невязки.</w:t>
      </w:r>
    </w:p>
    <w:p w14:paraId="37D8470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2A2B10" w14:textId="25D056DA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Вариационные методы и оптимизация в моделировании. Сопряж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нные уравнения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adjoint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equations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). Градиентные методы,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квазиньютоновские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методы. Оптимизация формы и топологическая оптимизация.</w:t>
      </w:r>
    </w:p>
    <w:p w14:paraId="0FC2FC40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53EB68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Идентификация параметров и данных. Методы байесовского вывода, фильтр Калмана, ансамблевые методы. Применение в геофизике, медицине, материаловедении.</w:t>
      </w:r>
    </w:p>
    <w:p w14:paraId="1C7ACB8D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FA0BD" w14:textId="77777777" w:rsidR="00E054D0" w:rsidRPr="00E054D0" w:rsidRDefault="00E054D0" w:rsidP="00E054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4D0">
        <w:rPr>
          <w:rFonts w:ascii="Times New Roman" w:hAnsi="Times New Roman" w:cs="Times New Roman"/>
          <w:b/>
          <w:bCs/>
          <w:sz w:val="24"/>
          <w:szCs w:val="24"/>
        </w:rPr>
        <w:t>6. Современные направления</w:t>
      </w:r>
    </w:p>
    <w:p w14:paraId="77263532" w14:textId="6622050B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Гибридные методы: машинное обучение и математическое моделирование. Использование нейросетей для ускорения расч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 xml:space="preserve">тов (суррогатные модели, операторные нейросети,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DeepONet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PINNs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– физико-информированные нейронные сети). Обучение на данных моделирования.</w:t>
      </w:r>
    </w:p>
    <w:p w14:paraId="0FD3A465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567974" w14:textId="035D7DBC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Моделирование с уч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том неопредел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нностей (UQ). Методы прямого распространения неопредел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54D0">
        <w:rPr>
          <w:rFonts w:ascii="Times New Roman" w:hAnsi="Times New Roman" w:cs="Times New Roman"/>
          <w:sz w:val="24"/>
          <w:szCs w:val="24"/>
        </w:rPr>
        <w:t>нностей (Монте-Карло, полиномиальные хаосы). Анализ чувствительности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Sobol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, Morris). Построение доверительных интервалов прогнозов.</w:t>
      </w:r>
    </w:p>
    <w:p w14:paraId="217E2AEA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410956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 xml:space="preserve">Редукция моделей (Model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Reduction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). Методы собственных ортогональных разложений (POD), редукция на основе балансировки. Применение для систем реального времени и цифровых двойников.</w:t>
      </w:r>
    </w:p>
    <w:p w14:paraId="5A0FCFCE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A3E815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Цифровые двойники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twins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>). Понятие, архитектура, интеграция моделей с данными. Обратная связь в реальном времени, прогностическое моделирование.</w:t>
      </w:r>
    </w:p>
    <w:p w14:paraId="4A0B321D" w14:textId="77777777" w:rsidR="00E054D0" w:rsidRPr="00E054D0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975F41" w14:textId="5096A9FB" w:rsidR="00E054D0" w:rsidRPr="002C248F" w:rsidRDefault="00E054D0" w:rsidP="00E054D0">
      <w:pPr>
        <w:jc w:val="both"/>
        <w:rPr>
          <w:rFonts w:ascii="Times New Roman" w:hAnsi="Times New Roman" w:cs="Times New Roman"/>
          <w:sz w:val="24"/>
          <w:szCs w:val="24"/>
        </w:rPr>
      </w:pPr>
      <w:r w:rsidRPr="00E054D0">
        <w:rPr>
          <w:rFonts w:ascii="Times New Roman" w:hAnsi="Times New Roman" w:cs="Times New Roman"/>
          <w:sz w:val="24"/>
          <w:szCs w:val="24"/>
        </w:rPr>
        <w:t>Моделирование в задачах искусственного интеллекта. Генеративные модели, моделирование физических процессов в симуляторах для обучения с подкреплением. Встраивание дифференциальных уравнений в нейросетевые архитектуры (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neural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ODE, </w:t>
      </w:r>
      <w:proofErr w:type="spellStart"/>
      <w:r w:rsidRPr="00E054D0">
        <w:rPr>
          <w:rFonts w:ascii="Times New Roman" w:hAnsi="Times New Roman" w:cs="Times New Roman"/>
          <w:sz w:val="24"/>
          <w:szCs w:val="24"/>
        </w:rPr>
        <w:t>neural</w:t>
      </w:r>
      <w:proofErr w:type="spellEnd"/>
      <w:r w:rsidRPr="00E054D0">
        <w:rPr>
          <w:rFonts w:ascii="Times New Roman" w:hAnsi="Times New Roman" w:cs="Times New Roman"/>
          <w:sz w:val="24"/>
          <w:szCs w:val="24"/>
        </w:rPr>
        <w:t xml:space="preserve"> PDE).</w:t>
      </w:r>
    </w:p>
    <w:sectPr w:rsidR="00E054D0" w:rsidRPr="002C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76EF3"/>
    <w:multiLevelType w:val="multilevel"/>
    <w:tmpl w:val="786A111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6376C7"/>
    <w:multiLevelType w:val="multilevel"/>
    <w:tmpl w:val="FC12D50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9423B"/>
    <w:multiLevelType w:val="multilevel"/>
    <w:tmpl w:val="2B6C2C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05871"/>
    <w:multiLevelType w:val="multilevel"/>
    <w:tmpl w:val="7BCCD15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757BC1"/>
    <w:multiLevelType w:val="multilevel"/>
    <w:tmpl w:val="F994443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337606"/>
    <w:multiLevelType w:val="multilevel"/>
    <w:tmpl w:val="15886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912A25"/>
    <w:multiLevelType w:val="multilevel"/>
    <w:tmpl w:val="FDA8C84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047558">
    <w:abstractNumId w:val="5"/>
  </w:num>
  <w:num w:numId="2" w16cid:durableId="1535312190">
    <w:abstractNumId w:val="2"/>
  </w:num>
  <w:num w:numId="3" w16cid:durableId="945305359">
    <w:abstractNumId w:val="3"/>
  </w:num>
  <w:num w:numId="4" w16cid:durableId="63068527">
    <w:abstractNumId w:val="6"/>
  </w:num>
  <w:num w:numId="5" w16cid:durableId="788624756">
    <w:abstractNumId w:val="4"/>
  </w:num>
  <w:num w:numId="6" w16cid:durableId="884485276">
    <w:abstractNumId w:val="1"/>
  </w:num>
  <w:num w:numId="7" w16cid:durableId="43058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D0"/>
    <w:rsid w:val="00007C41"/>
    <w:rsid w:val="00124A55"/>
    <w:rsid w:val="002C248F"/>
    <w:rsid w:val="00E054D0"/>
    <w:rsid w:val="00F8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0E8A"/>
  <w15:chartTrackingRefBased/>
  <w15:docId w15:val="{25F45C70-5569-4E82-AFC6-D9D499DAE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54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54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54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54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54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54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54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54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54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54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54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54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54D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54D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54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54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54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54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54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054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54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54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54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054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54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054D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54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054D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054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C20F1F8070A2944BE6158F5ED9351CB" ma:contentTypeVersion="3" ma:contentTypeDescription="Создание документа." ma:contentTypeScope="" ma:versionID="02f3ddccb05e02e8c48a620e5dce7346">
  <xsd:schema xmlns:xsd="http://www.w3.org/2001/XMLSchema" xmlns:xs="http://www.w3.org/2001/XMLSchema" xmlns:p="http://schemas.microsoft.com/office/2006/metadata/properties" xmlns:ns3="9d944931-9c4b-48c4-8c8c-b5c0ad7b4a6b" targetNamespace="http://schemas.microsoft.com/office/2006/metadata/properties" ma:root="true" ma:fieldsID="b5ef5a3a1d80b39699113c1ac2dacf76" ns3:_="">
    <xsd:import namespace="9d944931-9c4b-48c4-8c8c-b5c0ad7b4a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44931-9c4b-48c4-8c8c-b5c0ad7b4a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9E6DBE-C585-4181-8160-1249258113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370F9C-B6C9-4FFE-A01D-350BCDFEF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040C59-419F-4095-AD19-FB9C27A09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944931-9c4b-48c4-8c8c-b5c0ad7b4a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Фуртат Игорь Борисович</dc:creator>
  <cp:keywords/>
  <dc:description/>
  <cp:lastModifiedBy>Екатерина Серого</cp:lastModifiedBy>
  <cp:revision>3</cp:revision>
  <dcterms:created xsi:type="dcterms:W3CDTF">2026-03-30T06:12:00Z</dcterms:created>
  <dcterms:modified xsi:type="dcterms:W3CDTF">2026-04-30T08:26:00Z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0x010100BC20F1F8070A2944BE6158F5ED9351CB</vt:lpwstr>
  </property>
</Properties>
</file>